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A1639" w:rsidRDefault="00EF2556" w:rsidP="006A16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Функциональные кровати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9638"/>
        <w:gridCol w:w="2978"/>
        <w:gridCol w:w="1418"/>
      </w:tblGrid>
      <w:tr w:rsidR="00EF2556" w:rsidRPr="00EF2556" w:rsidTr="00C16205">
        <w:tc>
          <w:tcPr>
            <w:tcW w:w="320" w:type="pct"/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14" w:type="pct"/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описание</w:t>
            </w:r>
          </w:p>
        </w:tc>
        <w:tc>
          <w:tcPr>
            <w:tcW w:w="993" w:type="pct"/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требуемых функций или требуемая величина параметра</w:t>
            </w:r>
          </w:p>
        </w:tc>
        <w:tc>
          <w:tcPr>
            <w:tcW w:w="473" w:type="pct"/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</w:tr>
      <w:tr w:rsidR="00EF2556" w:rsidRPr="00EF2556" w:rsidTr="00C16205">
        <w:tc>
          <w:tcPr>
            <w:tcW w:w="320" w:type="pct"/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pct"/>
            <w:gridSpan w:val="2"/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Кровать функциональная </w:t>
            </w:r>
            <w:proofErr w:type="spellStart"/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трехсекционная</w:t>
            </w:r>
            <w:proofErr w:type="spellEnd"/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3" w:type="pct"/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A3D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ранее 2017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Документы (паспорт, руководство по эксплуатации) на русском языке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деятельности по производству медицинской техники</w:t>
            </w: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(у производителя)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и технические характеристики изделия: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Сварной каркас рамы основания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из стальных труб прямоугольного сечения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с полимерно-порошковым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18638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40х25х2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Оснащен</w:t>
            </w:r>
            <w:proofErr w:type="gram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гнездами крепления опускающихся боковых ограждений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По обеим боковым сторонам каркаса размещены кронштейны для крепления штатива для вливания в количестве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186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Каркас рамы основания установлен на опоры, которые являются продолжением торцевых спинок, изготовленных из цельногнутой трубы.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Каркас рамы основания крепиться к торцевым спинкам при помощи болтов и гаек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продольное расстояние между опорами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2044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Опоры установлены на 4 самоориентирующихся колеса с роликом из полипропилена, протектор термопластичная резина, серая не оставляющая следов, импортного производства диаметром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количество колес с тормозным устройством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125</w:t>
            </w: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Сварной каркас рамы ложа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из стальных труб прямоугольного сечения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с полимерно-порошковым покрытием;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25х28х1,5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Количество секций ложа (спинная, тазобедренная и ножная)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Ложе </w:t>
            </w: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выполнено из стального листа толщиной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с перфорацией овальной формы размером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0,8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50х25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2.3.1.1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отверстий перфорации на ложе: 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спинная секция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тазобедренная секция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ножная секция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25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15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Количество ребер жесткости: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на спинной секции в количестве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выполнены из стальных труб квадратного сечения</w:t>
            </w:r>
            <w:proofErr w:type="gramEnd"/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с длиной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на тазобедренной секции в количестве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выполнены из стальных труб квадратного сечения</w:t>
            </w:r>
            <w:proofErr w:type="gramEnd"/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с длиной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на ножной секции в количестве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выполнены из стальных труб квадратного сечения</w:t>
            </w:r>
            <w:proofErr w:type="gramEnd"/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с длиной 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20х20х1,5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765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20х20х1,5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355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20х20х1,5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522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2.3.1.3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Количество держателей матраца: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на спинной секции в количестве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на тазобедренной секции в количестве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- на ножной секции в количестве 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2.3.1.4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Панель ложа крепится к каркасу ложа с помощью заклепок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Регулировка спинной, тазобедренной и ножной секций осуществляется механически, по пазам гребенок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Гребенки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из прочного износостойкого материала </w:t>
            </w:r>
            <w:proofErr w:type="spell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Армлен</w:t>
            </w:r>
            <w:proofErr w:type="spell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 усилены металлической закладной деталью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12</w:t>
            </w: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Количество положений регулировки: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спиной секции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тазобедренной секции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- ножной секции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П-образных торцевых спинок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Выполнены из цельногнутых стальных труб круглого сечения</w:t>
            </w:r>
            <w:proofErr w:type="gramEnd"/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с радиусом гибки по оси трубы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с полимерно-порошковым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28х1,5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Оснащены вставками из ламинированной ДСП белого цвета толщиной</w:t>
            </w:r>
            <w:proofErr w:type="gramEnd"/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 xml:space="preserve"> крепятся на металлический каркас в 4-х местах, посредством винтов и гаек </w:t>
            </w:r>
            <w:proofErr w:type="spellStart"/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Эриксона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16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2.5.2.1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Вставки из ламинированной ДСП не имеют острых углов, оснащены ПВХ кромкой, препятствующей попаданию влаги при обработке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одной вставки из ламинированной ДСП</w:t>
            </w:r>
            <w:proofErr w:type="gram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0,209 ± 0,001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162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 торцевой спинке (со стороны головы) предусмотрено гнездо крепления приспособления для подтягивания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  <w:t>Размеры кровати: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Длина (по колесам)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Ширина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Высота (по спинкам)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Не менее 2220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Не более 880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Не менее 1000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Размер </w:t>
            </w:r>
            <w:proofErr w:type="spellStart"/>
            <w:r w:rsidRPr="00C1620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подматрацной</w:t>
            </w:r>
            <w:proofErr w:type="spellEnd"/>
            <w:r w:rsidRPr="00C1620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рамы:</w:t>
            </w:r>
          </w:p>
          <w:p w:rsidR="00EF2556" w:rsidRPr="00EF2556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</w:t>
            </w:r>
          </w:p>
          <w:p w:rsidR="00EF2556" w:rsidRPr="00EF2556" w:rsidRDefault="00EF2556" w:rsidP="00EF2556">
            <w:pPr>
              <w:tabs>
                <w:tab w:val="left" w:pos="3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(ложа над уровнем пола)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менее 2020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800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менее 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  <w:t>Размеры спинной секции (по шарнирам):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менее 840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730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Размеры тазобедренной секции</w:t>
            </w:r>
            <w:r w:rsidRPr="00C16205"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  <w:t xml:space="preserve"> (по шарнирам)</w:t>
            </w: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474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730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Размеры ножной секции</w:t>
            </w:r>
            <w:r w:rsidRPr="00C16205"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  <w:t xml:space="preserve"> (по шарнирам)</w:t>
            </w: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менее 607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730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eastAsia="Times New Roman CYR" w:hAnsi="Times New Roman" w:cs="Times New Roman"/>
                <w:i/>
                <w:sz w:val="24"/>
                <w:szCs w:val="24"/>
              </w:rPr>
              <w:t>Углы наклона: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Спинная секция панели от горизонтали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Тазобедренная секция панели от горизонтали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Ножная секция панели от горизонтали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менее 60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20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56" w:rsidRPr="00EF2556" w:rsidRDefault="00C16205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</w:p>
          <w:p w:rsidR="00EF2556" w:rsidRPr="00EF2556" w:rsidRDefault="00C16205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</w:p>
          <w:p w:rsidR="00EF2556" w:rsidRPr="00EF2556" w:rsidRDefault="00C16205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Допускаемая нагрузка на ложе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160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sz w:val="24"/>
                <w:szCs w:val="24"/>
              </w:rPr>
              <w:t>Масса кровати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Не более 54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Принадлежности к кровати: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Количество </w:t>
            </w:r>
            <w:r w:rsidRPr="00C162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матрацев</w:t>
            </w: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 чехле из </w:t>
            </w:r>
            <w:proofErr w:type="spellStart"/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винилискожи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секций матраца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Матрац выполнен из </w:t>
            </w:r>
            <w:proofErr w:type="spell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пенополиуретана</w:t>
            </w:r>
            <w:proofErr w:type="spellEnd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съемном чехле из </w:t>
            </w:r>
            <w:proofErr w:type="spell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винилискожи</w:t>
            </w:r>
            <w:proofErr w:type="spellEnd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светлых тонов ГОСТ 23367-86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Толщина матраца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100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Размеры матраца: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1915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3.1.5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Размеры спинной секции матраца: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870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3.1.6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Размеры тазобедренной секции матраца: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3.1.7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Размеры ножной секции матраца: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pacing w:after="0" w:line="240" w:lineRule="auto"/>
              <w:ind w:left="12" w:right="-3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lastRenderedPageBreak/>
              <w:t>Ширина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595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менее </w:t>
            </w: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Количество </w:t>
            </w:r>
            <w:r w:rsidRPr="00C162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приспособлений для подтягивания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Приспособление состоит из держателя, ручки для подтягивания, замка ЗВК: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держатель выполнен из стальной трубы круглого сечения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полимерно-порошковым покрытием и  </w:t>
            </w:r>
            <w:proofErr w:type="gram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оснащен</w:t>
            </w:r>
            <w:proofErr w:type="gramEnd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фиксаторами для фиксации ремня ручки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ручка для подтягивания треугольной формы, изготовлена из пластмассы, в комплекте имеет регулируемый ремень для крепления (ремень оснащен резиновой вставкой, препятствующей скольжению по держателю)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замок ЗВК предназначен для фиксации держателя на торцевой спинке кровати и представляет собой замок с 2-мя крючками из стального прутка диаметром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гальваническим защитно-декоративным покрытием и зажимного винта, оснащенного перекидным воротком с гальваническим защитно-декоративным покрытием. 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Торец зажимного винта оснащен мягкой прокладкой, которая исключает сколы и царапины на полимерно-порошковом покрытии торцевой спинки.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32х2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Размеры приспособления для подтягивания: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774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1260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Количество </w:t>
            </w:r>
            <w:r w:rsidRPr="00C162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штативов для вливаний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Неподвижная стойка штатива выполнена из стальной трубы круглого сечения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полимерно-порошковым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18х1,5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Телескопическая (подвижная) стойка штатива выполнена из стальной трубы круглого сечения 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гальваническим защитно-декоративным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12х1,5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3.4.3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телескопической стойке </w:t>
            </w:r>
            <w:proofErr w:type="gram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закреплены</w:t>
            </w:r>
            <w:proofErr w:type="gramEnd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держатель для флаконов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крючок для пакетов</w:t>
            </w:r>
          </w:p>
          <w:p w:rsidR="00EF2556" w:rsidRPr="00EF2556" w:rsidRDefault="00EF2556" w:rsidP="00C1620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которые выполнены из стальных прутков диаметром</w:t>
            </w:r>
            <w:r w:rsidR="00C162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полимерно-порошковым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2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3.4.4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Размеры штатива для вливаний: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 (минимальная)</w:t>
            </w:r>
          </w:p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 (максимальная)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254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1329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1679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Количество </w:t>
            </w:r>
            <w:r w:rsidRPr="00C162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опускающихся боковых ограждений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C1620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Выполнены из стальных труб круглого сечения</w:t>
            </w:r>
            <w:r w:rsidR="00C162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полимерно-порошковым покрытием</w:t>
            </w:r>
            <w:proofErr w:type="gram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C1620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18х1,5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Размеры боковых ограждений: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Высота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1300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405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Количество </w:t>
            </w:r>
            <w:r w:rsidRPr="00C162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корзин под судно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Выполнена</w:t>
            </w:r>
            <w:proofErr w:type="gramEnd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стальных прутков диаметром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полимерно-порошковым покрытием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Размеры корзины под судно: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</w:t>
            </w:r>
          </w:p>
          <w:p w:rsidR="00EF2556" w:rsidRPr="00EF2556" w:rsidRDefault="00EF2556" w:rsidP="00EF2556">
            <w:pPr>
              <w:tabs>
                <w:tab w:val="left" w:pos="698"/>
                <w:tab w:val="left" w:pos="10095"/>
              </w:tabs>
              <w:snapToGrid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463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325</w:t>
            </w:r>
          </w:p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160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F2556" w:rsidRPr="00EF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C16205" w:rsidRDefault="00EF2556" w:rsidP="00EF25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62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Обработка и упаковка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556" w:rsidRPr="00EF25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узлы и детали кровати должны быть устойчивы к дезинфекции к 0,5% раствору хлорамина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56" w:rsidRPr="00EF2556" w:rsidTr="00C16205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C16205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556" w:rsidRPr="00EF255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Кровать должна быть упакована в короб из 3-х </w:t>
            </w:r>
            <w:proofErr w:type="spellStart"/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слойногогофрокартона</w:t>
            </w:r>
            <w:proofErr w:type="spellEnd"/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углы короба усилены защитным уголком из </w:t>
            </w:r>
            <w:proofErr w:type="spellStart"/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крафт-картона</w:t>
            </w:r>
            <w:proofErr w:type="spellEnd"/>
            <w:r w:rsidRPr="00EF2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2556">
              <w:rPr>
                <w:rFonts w:ascii="Times New Roman" w:eastAsia="Times New Roman CYR" w:hAnsi="Times New Roman" w:cs="Times New Roman"/>
                <w:sz w:val="24"/>
                <w:szCs w:val="24"/>
              </w:rPr>
              <w:t>Информационная табличка на основании каждого изделия с указанием производителя, года выпуска изделия, наименования модели и серийного номера данного изделия.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55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56" w:rsidRPr="00EF2556" w:rsidRDefault="00EF2556" w:rsidP="00EF2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F8A" w:rsidRDefault="00E97F8A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37 месяцев с момента ввода в эксплуатацию. Плановое техническое обслуживание должно производиться не реже чем 1 раз в квартал. 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B25" w:rsidRDefault="00C04B25" w:rsidP="00C04B2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C16205">
        <w:rPr>
          <w:rFonts w:ascii="Times New Roman" w:hAnsi="Times New Roman"/>
          <w:b/>
          <w:sz w:val="24"/>
          <w:szCs w:val="24"/>
          <w:lang w:val="kk-KZ"/>
        </w:rPr>
        <w:t>И.о. г</w:t>
      </w:r>
      <w:r w:rsidR="00C16205">
        <w:rPr>
          <w:rFonts w:ascii="Times New Roman" w:hAnsi="Times New Roman"/>
          <w:b/>
          <w:sz w:val="24"/>
          <w:szCs w:val="24"/>
        </w:rPr>
        <w:t>лавного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C16205">
        <w:rPr>
          <w:rFonts w:ascii="Times New Roman" w:hAnsi="Times New Roman"/>
          <w:b/>
          <w:sz w:val="24"/>
          <w:szCs w:val="24"/>
        </w:rPr>
        <w:t>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C16205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>.</w:t>
      </w:r>
      <w:r w:rsidR="00C16205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C16205">
        <w:rPr>
          <w:rFonts w:ascii="Times New Roman" w:hAnsi="Times New Roman"/>
          <w:b/>
          <w:sz w:val="24"/>
          <w:szCs w:val="24"/>
        </w:rPr>
        <w:t>Кузнецов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0D4FA3"/>
    <w:rsid w:val="0012010D"/>
    <w:rsid w:val="00186385"/>
    <w:rsid w:val="001E12D9"/>
    <w:rsid w:val="001E1E21"/>
    <w:rsid w:val="00200AD1"/>
    <w:rsid w:val="00241B2D"/>
    <w:rsid w:val="002B5667"/>
    <w:rsid w:val="002C4911"/>
    <w:rsid w:val="002F0651"/>
    <w:rsid w:val="00306C60"/>
    <w:rsid w:val="0032706C"/>
    <w:rsid w:val="0037586A"/>
    <w:rsid w:val="003905EE"/>
    <w:rsid w:val="003B365F"/>
    <w:rsid w:val="003C3E14"/>
    <w:rsid w:val="003E0EA3"/>
    <w:rsid w:val="003E2CBF"/>
    <w:rsid w:val="00463B1C"/>
    <w:rsid w:val="00483D96"/>
    <w:rsid w:val="0049077F"/>
    <w:rsid w:val="004B1F81"/>
    <w:rsid w:val="004F0CAB"/>
    <w:rsid w:val="00504E55"/>
    <w:rsid w:val="005177E1"/>
    <w:rsid w:val="00572599"/>
    <w:rsid w:val="005C0F81"/>
    <w:rsid w:val="005E0179"/>
    <w:rsid w:val="005F1E1B"/>
    <w:rsid w:val="005F7362"/>
    <w:rsid w:val="00601711"/>
    <w:rsid w:val="00622403"/>
    <w:rsid w:val="006239F3"/>
    <w:rsid w:val="00693CA5"/>
    <w:rsid w:val="006A1639"/>
    <w:rsid w:val="006E22B7"/>
    <w:rsid w:val="007436C0"/>
    <w:rsid w:val="00756492"/>
    <w:rsid w:val="007674B4"/>
    <w:rsid w:val="00790E51"/>
    <w:rsid w:val="007A03B5"/>
    <w:rsid w:val="007E44D0"/>
    <w:rsid w:val="008144C6"/>
    <w:rsid w:val="00843F8A"/>
    <w:rsid w:val="00863B13"/>
    <w:rsid w:val="00881171"/>
    <w:rsid w:val="00892F2A"/>
    <w:rsid w:val="00936EB4"/>
    <w:rsid w:val="00994B1A"/>
    <w:rsid w:val="00997765"/>
    <w:rsid w:val="00AE0EC3"/>
    <w:rsid w:val="00B56F12"/>
    <w:rsid w:val="00B72B78"/>
    <w:rsid w:val="00BB1111"/>
    <w:rsid w:val="00BE6E0A"/>
    <w:rsid w:val="00BE79AD"/>
    <w:rsid w:val="00BF3E2F"/>
    <w:rsid w:val="00C013E7"/>
    <w:rsid w:val="00C04B25"/>
    <w:rsid w:val="00C16205"/>
    <w:rsid w:val="00C70218"/>
    <w:rsid w:val="00CB1715"/>
    <w:rsid w:val="00CD458A"/>
    <w:rsid w:val="00CE6762"/>
    <w:rsid w:val="00D117A9"/>
    <w:rsid w:val="00D20174"/>
    <w:rsid w:val="00D42075"/>
    <w:rsid w:val="00D57226"/>
    <w:rsid w:val="00D91460"/>
    <w:rsid w:val="00DA3D6D"/>
    <w:rsid w:val="00DC0291"/>
    <w:rsid w:val="00DC1590"/>
    <w:rsid w:val="00DD5B70"/>
    <w:rsid w:val="00DE6DEE"/>
    <w:rsid w:val="00E36DDA"/>
    <w:rsid w:val="00E574DC"/>
    <w:rsid w:val="00E90BE7"/>
    <w:rsid w:val="00E97F8A"/>
    <w:rsid w:val="00EA4CF3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63</cp:revision>
  <cp:lastPrinted>2018-10-29T09:37:00Z</cp:lastPrinted>
  <dcterms:created xsi:type="dcterms:W3CDTF">2017-03-30T09:16:00Z</dcterms:created>
  <dcterms:modified xsi:type="dcterms:W3CDTF">2018-10-29T09:39:00Z</dcterms:modified>
</cp:coreProperties>
</file>